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6E68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7bis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08076</w:t>
      </w:r>
    </w:p>
    <w:p w14:paraId="08265052">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Hefei</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China,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14</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153889D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A808A9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applicable functionality reporting and achieved the following agreements, and sent a LS [2] to RAN1</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0080D2D3">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0"/>
        </w:rPr>
      </w:pPr>
      <w:r>
        <w:rPr>
          <w:rFonts w:hint="default" w:ascii="Arial" w:hAnsi="Arial" w:cs="Arial"/>
          <w:b/>
          <w:bCs/>
          <w:sz w:val="20"/>
          <w:szCs w:val="20"/>
        </w:rPr>
        <w:t>Agreements on definitions</w:t>
      </w:r>
    </w:p>
    <w:p w14:paraId="69249F7F">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Supported functionalities refer to functionalities that UE can indicate by using UE capability information (via RRC/LPP signalling)</w:t>
      </w:r>
    </w:p>
    <w:p w14:paraId="3D07C9D8">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Applicable functionalities refers to functionalities that the UE is ready to apply for inference</w:t>
      </w:r>
    </w:p>
    <w:p w14:paraId="6ED72853">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Activated functionalities refers to functionalities already enabled for performing inference</w:t>
      </w:r>
    </w:p>
    <w:p w14:paraId="4F32F595">
      <w:pPr>
        <w:pStyle w:val="31"/>
        <w:rPr>
          <w:rFonts w:hint="default" w:ascii="Arial" w:hAnsi="Arial" w:cs="Arial"/>
          <w:sz w:val="20"/>
          <w:szCs w:val="20"/>
          <w:lang w:val="en-US"/>
        </w:rPr>
      </w:pPr>
    </w:p>
    <w:tbl>
      <w:tblPr>
        <w:tblStyle w:val="15"/>
        <w:tblW w:w="9160"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C9C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trPr>
        <w:tc>
          <w:tcPr>
            <w:tcW w:w="9160" w:type="dxa"/>
          </w:tcPr>
          <w:p w14:paraId="7AD18C55">
            <w:pPr>
              <w:pStyle w:val="25"/>
              <w:ind w:left="363"/>
              <w:rPr>
                <w:rFonts w:hint="default" w:ascii="Arial" w:hAnsi="Arial" w:cs="Arial"/>
                <w:b/>
                <w:bCs/>
                <w:sz w:val="20"/>
                <w:szCs w:val="20"/>
              </w:rPr>
            </w:pPr>
            <w:r>
              <w:rPr>
                <w:rFonts w:hint="default" w:ascii="Arial" w:hAnsi="Arial" w:cs="Arial"/>
                <w:b/>
                <w:bCs/>
                <w:sz w:val="20"/>
                <w:szCs w:val="20"/>
              </w:rPr>
              <w:t>Agreements on procedures</w:t>
            </w:r>
          </w:p>
          <w:p w14:paraId="54019077">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Step 1: Network sends UECapabilityEnqiry message to initiate the procedure to a UE reporting its AI/ML supported functionalities. </w:t>
            </w:r>
          </w:p>
          <w:p w14:paraId="5B0FFB2C">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Step 2: UE sends UECapablityInformation message to network, containing supported functionalities at the UE side.</w:t>
            </w:r>
          </w:p>
          <w:p w14:paraId="0F23ADF0">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“Step 3”: Following configurations are provided from NW to UE:</w:t>
            </w:r>
          </w:p>
          <w:p w14:paraId="66D499B1">
            <w:pPr>
              <w:pStyle w:val="25"/>
              <w:ind w:left="726"/>
              <w:rPr>
                <w:rFonts w:hint="default" w:ascii="Arial" w:hAnsi="Arial" w:cs="Arial"/>
                <w:sz w:val="20"/>
                <w:szCs w:val="20"/>
              </w:rPr>
            </w:pPr>
            <w:r>
              <w:rPr>
                <w:rFonts w:hint="default" w:ascii="Arial" w:hAnsi="Arial" w:cs="Arial"/>
                <w:sz w:val="20"/>
                <w:szCs w:val="20"/>
              </w:rPr>
              <w:t>1) UE is allowed to do UAI reporting via OtherConfig.</w:t>
            </w:r>
          </w:p>
          <w:p w14:paraId="0518FC69">
            <w:pPr>
              <w:pStyle w:val="25"/>
              <w:ind w:left="726"/>
              <w:rPr>
                <w:rFonts w:hint="default" w:ascii="Arial" w:hAnsi="Arial" w:cs="Arial"/>
                <w:sz w:val="20"/>
                <w:szCs w:val="20"/>
              </w:rPr>
            </w:pPr>
            <w:r>
              <w:rPr>
                <w:rFonts w:hint="default" w:ascii="Arial" w:hAnsi="Arial" w:cs="Arial"/>
                <w:sz w:val="20"/>
                <w:szCs w:val="20"/>
              </w:rPr>
              <w:t xml:space="preserve">2) Network may provide NW-side additional condition.  FFS on the RRC signalling and whether it is mandatory or optional. </w:t>
            </w:r>
          </w:p>
          <w:p w14:paraId="2A980B35">
            <w:pPr>
              <w:pStyle w:val="25"/>
              <w:ind w:left="726"/>
              <w:rPr>
                <w:rFonts w:hint="default" w:ascii="Arial" w:hAnsi="Arial" w:cs="Arial"/>
                <w:sz w:val="20"/>
                <w:szCs w:val="20"/>
              </w:rPr>
            </w:pPr>
            <w:r>
              <w:rPr>
                <w:rFonts w:hint="default" w:ascii="Arial" w:hAnsi="Arial" w:cs="Arial"/>
                <w:sz w:val="20"/>
                <w:szCs w:val="20"/>
              </w:rPr>
              <w:t>3) FFS on configuration (e.g. inference configuration) of supported functionalities. FFS on the content of configuration.</w:t>
            </w:r>
          </w:p>
          <w:p w14:paraId="25F2B989">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hint="default" w:ascii="Arial" w:hAnsi="Arial" w:cs="Arial"/>
                <w:i/>
                <w:iCs/>
                <w:sz w:val="20"/>
                <w:szCs w:val="20"/>
              </w:rPr>
              <w:t xml:space="preserve">   </w:t>
            </w:r>
          </w:p>
          <w:p w14:paraId="6BC488F8">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“Step 4”: UE reports applicable functionality in the following scenarios: </w:t>
            </w:r>
          </w:p>
          <w:p w14:paraId="6DC787E1">
            <w:pPr>
              <w:pStyle w:val="25"/>
              <w:ind w:left="726"/>
              <w:rPr>
                <w:rFonts w:hint="default" w:ascii="Arial" w:hAnsi="Arial" w:cs="Arial"/>
                <w:sz w:val="20"/>
                <w:szCs w:val="20"/>
              </w:rPr>
            </w:pPr>
            <w:r>
              <w:rPr>
                <w:rFonts w:hint="default" w:ascii="Arial" w:hAnsi="Arial" w:cs="Arial"/>
                <w:sz w:val="20"/>
                <w:szCs w:val="20"/>
              </w:rPr>
              <w:t>1) Upon being configured to provide applicable functionality and upon change of applicable functionality via UAI</w:t>
            </w:r>
          </w:p>
          <w:p w14:paraId="1AB4B143">
            <w:pPr>
              <w:pStyle w:val="25"/>
              <w:ind w:left="726"/>
              <w:rPr>
                <w:rFonts w:hint="default" w:ascii="Arial" w:hAnsi="Arial" w:cs="Arial"/>
                <w:sz w:val="20"/>
                <w:szCs w:val="20"/>
              </w:rPr>
            </w:pPr>
            <w:r>
              <w:rPr>
                <w:rFonts w:hint="default" w:ascii="Arial" w:hAnsi="Arial" w:cs="Arial"/>
                <w:sz w:val="20"/>
                <w:szCs w:val="20"/>
              </w:rPr>
              <w:t xml:space="preserve">2) As response to NW-side additional condition requesting applicable functionality reporting in step 3, </w:t>
            </w:r>
            <w:r>
              <w:rPr>
                <w:rFonts w:hint="default" w:ascii="Arial" w:hAnsi="Arial" w:cs="Arial"/>
                <w:sz w:val="20"/>
                <w:szCs w:val="20"/>
                <w:highlight w:val="none"/>
              </w:rPr>
              <w:t xml:space="preserve">FFS other network configuration (e.g. inference configuration), FFS via UAI or RRCReconfigurationComplete, etc </w:t>
            </w:r>
          </w:p>
          <w:p w14:paraId="210107D2">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Step 5: </w:t>
            </w:r>
          </w:p>
          <w:p w14:paraId="3F95CAC5">
            <w:pPr>
              <w:pStyle w:val="25"/>
              <w:ind w:left="726"/>
              <w:rPr>
                <w:rFonts w:hint="default" w:ascii="Arial" w:hAnsi="Arial" w:cs="Arial"/>
                <w:sz w:val="20"/>
                <w:szCs w:val="20"/>
              </w:rPr>
            </w:pPr>
            <w:r>
              <w:rPr>
                <w:rFonts w:hint="default" w:ascii="Arial" w:hAnsi="Arial" w:cs="Arial"/>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7090CC58">
            <w:pPr>
              <w:pStyle w:val="25"/>
              <w:ind w:left="726"/>
              <w:rPr>
                <w:rFonts w:hint="default" w:ascii="Arial" w:hAnsi="Arial" w:cs="Arial"/>
                <w:sz w:val="20"/>
                <w:szCs w:val="20"/>
              </w:rPr>
            </w:pPr>
            <w:r>
              <w:rPr>
                <w:rFonts w:hint="default" w:ascii="Arial" w:hAnsi="Arial" w:cs="Arial"/>
                <w:sz w:val="20"/>
                <w:szCs w:val="20"/>
              </w:rPr>
              <w:t xml:space="preserve">2) If inference configuration based on supported functionality is provided in Step 3, it is up to network implementation whether to provide an updated configuration or not. </w:t>
            </w:r>
          </w:p>
          <w:p w14:paraId="7DFC3191">
            <w:pPr>
              <w:pStyle w:val="25"/>
              <w:ind w:left="363"/>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E981CFA">
            <w:pPr>
              <w:pStyle w:val="25"/>
              <w:ind w:left="363"/>
              <w:rPr>
                <w:rFonts w:hint="default" w:ascii="Arial" w:hAnsi="Arial" w:cs="Arial"/>
                <w:sz w:val="20"/>
                <w:szCs w:val="20"/>
                <w:lang w:val="en-US"/>
              </w:rPr>
            </w:pPr>
            <w:r>
              <w:rPr>
                <w:rFonts w:hint="default" w:ascii="Arial" w:hAnsi="Arial" w:cs="Arial"/>
                <w:sz w:val="20"/>
                <w:szCs w:val="20"/>
              </w:rPr>
              <w:t xml:space="preserve">-     We will write an LS to RAN1 to provide our agreements and ask specific questions that RAN2 needs to enable progress.   </w:t>
            </w:r>
          </w:p>
        </w:tc>
      </w:tr>
    </w:tbl>
    <w:p w14:paraId="0221353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discuss</w:t>
      </w:r>
      <w:r>
        <w:rPr>
          <w:rFonts w:hint="eastAsia" w:ascii="Arial" w:hAnsi="Arial" w:eastAsia="宋体" w:cs="Arial"/>
          <w:kern w:val="0"/>
          <w:sz w:val="20"/>
          <w:szCs w:val="20"/>
          <w:lang w:val="en-US" w:eastAsia="zh-CN"/>
        </w:rPr>
        <w:t xml:space="preserv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remaining issues on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14:paraId="76131D78">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250BDEEC">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The following basic flow for applicable functionality reporting were agreed in last meeting. We think the FFS via UAI or </w:t>
      </w:r>
      <w:r>
        <w:rPr>
          <w:rFonts w:hint="eastAsia" w:ascii="Arial" w:hAnsi="Arial" w:cs="Arial"/>
          <w:i/>
          <w:iCs/>
          <w:sz w:val="20"/>
          <w:szCs w:val="20"/>
          <w:lang w:val="en-US" w:eastAsia="zh-CN"/>
        </w:rPr>
        <w:t xml:space="preserve">RRCReconfigurationComplete </w:t>
      </w:r>
      <w:r>
        <w:rPr>
          <w:rFonts w:hint="eastAsia" w:ascii="Arial" w:hAnsi="Arial" w:cs="Arial"/>
          <w:sz w:val="20"/>
          <w:szCs w:val="20"/>
          <w:lang w:val="en-US" w:eastAsia="zh-CN"/>
        </w:rPr>
        <w:t xml:space="preserve">in step 4 is independent on RAN1 discussion and should be solved in RAN2.  </w:t>
      </w:r>
    </w:p>
    <w:p w14:paraId="1B84F780">
      <w:pPr>
        <w:numPr>
          <w:ilvl w:val="0"/>
          <w:numId w:val="0"/>
        </w:numPr>
        <w:spacing w:before="120" w:beforeLines="50" w:after="120" w:line="240" w:lineRule="auto"/>
        <w:jc w:val="center"/>
      </w:pPr>
      <w:r>
        <w:object>
          <v:shape id="_x0000_i1025" o:spt="75" type="#_x0000_t75" style="height:173.9pt;width:222.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2B7DB22F">
      <w:pPr>
        <w:numPr>
          <w:ilvl w:val="0"/>
          <w:numId w:val="0"/>
        </w:numPr>
        <w:spacing w:before="120" w:beforeLines="50" w:after="120" w:line="240" w:lineRule="auto"/>
        <w:jc w:val="center"/>
        <w:rPr>
          <w:rFonts w:hint="eastAsia" w:ascii="Arial" w:hAnsi="Arial" w:cs="Arial"/>
          <w:b/>
          <w:bCs/>
          <w:sz w:val="18"/>
          <w:szCs w:val="20"/>
          <w:lang w:val="en-US" w:eastAsia="zh-CN"/>
        </w:rPr>
      </w:pPr>
      <w:r>
        <w:rPr>
          <w:rFonts w:hint="eastAsia" w:ascii="Arial" w:hAnsi="Arial" w:cs="Arial"/>
          <w:b/>
          <w:bCs/>
          <w:sz w:val="18"/>
          <w:szCs w:val="20"/>
          <w:lang w:val="en-US" w:eastAsia="zh-CN"/>
        </w:rPr>
        <w:t>Figure 1. Basic flow for applicable functionality reporting</w:t>
      </w:r>
    </w:p>
    <w:p w14:paraId="26EAE17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Issue#1: FFS on signaling of step 4 for reactive reporting</w:t>
      </w:r>
    </w:p>
    <w:p w14:paraId="05DA656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rPr>
      </w:pPr>
      <w:r>
        <w:rPr>
          <w:rFonts w:hint="eastAsia" w:ascii="Arial" w:hAnsi="Arial" w:cs="Arial"/>
          <w:b w:val="0"/>
          <w:bCs w:val="0"/>
          <w:sz w:val="20"/>
          <w:szCs w:val="20"/>
          <w:lang w:val="en-US" w:eastAsia="zh-CN"/>
        </w:rPr>
        <w:t>For reactive reporting, it is used whenever the network wants the UE to report the applicable functionalities. However, the UAI framework cannot achieve to react the network configuration immediately, and when to report is up to UE. Therefore, w</w:t>
      </w:r>
      <w:r>
        <w:rPr>
          <w:rFonts w:hint="eastAsia" w:ascii="Arial" w:hAnsi="Arial" w:cs="Arial"/>
          <w:sz w:val="20"/>
          <w:szCs w:val="22"/>
          <w:lang w:val="en-US" w:eastAsia="zh-CN"/>
        </w:rPr>
        <w:t xml:space="preserve">e think that </w:t>
      </w:r>
      <w:r>
        <w:rPr>
          <w:rFonts w:hint="default" w:ascii="Arial" w:hAnsi="Arial" w:cs="Arial"/>
          <w:sz w:val="20"/>
          <w:szCs w:val="22"/>
        </w:rPr>
        <w:t xml:space="preserve">it is straightforward to use </w:t>
      </w:r>
      <w:r>
        <w:rPr>
          <w:rFonts w:hint="default" w:ascii="Arial" w:hAnsi="Arial" w:cs="Arial"/>
          <w:i/>
          <w:iCs/>
          <w:sz w:val="20"/>
          <w:szCs w:val="22"/>
        </w:rPr>
        <w:t>RRCReconfiguraitonComplete</w:t>
      </w:r>
      <w:r>
        <w:rPr>
          <w:rFonts w:hint="eastAsia" w:ascii="Arial" w:hAnsi="Arial" w:cs="Arial"/>
          <w:i/>
          <w:iCs/>
          <w:sz w:val="20"/>
          <w:szCs w:val="22"/>
          <w:lang w:val="en-US" w:eastAsia="zh-CN"/>
        </w:rPr>
        <w:t xml:space="preserve"> </w:t>
      </w:r>
      <w:r>
        <w:rPr>
          <w:rFonts w:hint="eastAsia" w:ascii="Arial" w:hAnsi="Arial" w:cs="Arial"/>
          <w:sz w:val="20"/>
          <w:szCs w:val="22"/>
          <w:lang w:val="en-US" w:eastAsia="zh-CN"/>
        </w:rPr>
        <w:t xml:space="preserve">message to response the network configuration in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message</w:t>
      </w:r>
      <w:r>
        <w:rPr>
          <w:rFonts w:hint="default" w:ascii="Arial" w:hAnsi="Arial" w:cs="Arial"/>
          <w:sz w:val="20"/>
          <w:szCs w:val="22"/>
        </w:rPr>
        <w:t xml:space="preserve">. </w:t>
      </w:r>
    </w:p>
    <w:p w14:paraId="059FCB3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1: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applicable functionalities in step 4.</w:t>
      </w:r>
    </w:p>
    <w:p w14:paraId="1AFB005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b/>
          <w:bCs/>
          <w:i/>
          <w:iCs/>
          <w:sz w:val="20"/>
          <w:szCs w:val="20"/>
          <w:u w:val="single"/>
          <w:lang w:val="en-US" w:eastAsia="zh-CN"/>
        </w:rPr>
        <w:t>Issue#2: Coexistence of reactive reporting and proactive reporting</w:t>
      </w:r>
    </w:p>
    <w:p w14:paraId="195422E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sz w:val="20"/>
          <w:szCs w:val="22"/>
          <w:lang w:val="en-US" w:eastAsia="zh-CN"/>
        </w:rPr>
        <w:t xml:space="preserve">We understand that the proactive and reactive approach can be coexist, i.e. the network can provide both reactive and proactive configuration. In such a case, the proactive reporting (i.e. UAI framework) can be used to report to the network when the applicability functionalities changes, and the reactive reporting (i.e.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 xml:space="preserve">message) is used as response to the network configuration immediately.  </w:t>
      </w:r>
    </w:p>
    <w:p w14:paraId="012FDB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b/>
          <w:bCs/>
          <w:sz w:val="20"/>
          <w:szCs w:val="22"/>
          <w:lang w:val="en-US" w:eastAsia="zh-CN"/>
        </w:rPr>
        <w:t xml:space="preserve">Proposal 2: The proactive and reactive approach can be coexist, the proactive reporting (i.e. UAI framework) is used when the applicability functionalities changes, and the reactive reporting (i.e. </w:t>
      </w:r>
      <w:r>
        <w:rPr>
          <w:rFonts w:hint="eastAsia" w:ascii="Arial" w:hAnsi="Arial" w:cs="Arial"/>
          <w:b/>
          <w:bCs/>
          <w:i/>
          <w:iCs/>
          <w:sz w:val="20"/>
          <w:szCs w:val="22"/>
          <w:lang w:val="en-US" w:eastAsia="zh-CN"/>
        </w:rPr>
        <w:t xml:space="preserve">RRCReconfiguration </w:t>
      </w:r>
      <w:r>
        <w:rPr>
          <w:rFonts w:hint="eastAsia" w:ascii="Arial" w:hAnsi="Arial" w:cs="Arial"/>
          <w:b/>
          <w:bCs/>
          <w:sz w:val="20"/>
          <w:szCs w:val="22"/>
          <w:lang w:val="en-US" w:eastAsia="zh-CN"/>
        </w:rPr>
        <w:t>message) is used as response to the network configuration immediately</w:t>
      </w:r>
      <w:r>
        <w:rPr>
          <w:rFonts w:hint="eastAsia" w:ascii="Arial" w:hAnsi="Arial" w:cs="Arial"/>
          <w:b/>
          <w:bCs/>
          <w:sz w:val="20"/>
          <w:szCs w:val="20"/>
          <w:lang w:val="en-US" w:eastAsia="zh-CN"/>
        </w:rPr>
        <w:t>.</w:t>
      </w:r>
      <w:r>
        <w:rPr>
          <w:rFonts w:hint="eastAsia" w:ascii="Arial" w:hAnsi="Arial" w:cs="Arial"/>
          <w:b/>
          <w:bCs/>
          <w:sz w:val="20"/>
          <w:szCs w:val="22"/>
          <w:lang w:val="en-US" w:eastAsia="zh-CN"/>
        </w:rPr>
        <w:t xml:space="preserve">  </w:t>
      </w:r>
    </w:p>
    <w:p w14:paraId="19F897F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val="0"/>
          <w:sz w:val="28"/>
          <w:szCs w:val="28"/>
          <w:lang w:val="en-US" w:eastAsia="zh-CN"/>
        </w:rPr>
      </w:pPr>
    </w:p>
    <w:p w14:paraId="1ADD98D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2.2 Functionality identification</w:t>
      </w:r>
    </w:p>
    <w:p w14:paraId="298142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During R18 study phase, RAN1 agreed to take the UE capability reporting as starting point for functionality identification and the UE can report the applicable functionality after functionality identification, which were captured in TR 38.843 [3].</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6A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1B182E8">
            <w:pPr>
              <w:pStyle w:val="4"/>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after="120"/>
              <w:ind w:leftChars="0" w:right="210" w:rightChars="100"/>
              <w:textAlignment w:val="auto"/>
              <w:rPr>
                <w:rFonts w:hint="default" w:ascii="Arial" w:hAnsi="Arial" w:cs="Arial"/>
                <w:sz w:val="28"/>
                <w:szCs w:val="24"/>
              </w:rPr>
            </w:pPr>
            <w:r>
              <w:rPr>
                <w:rFonts w:hint="default" w:ascii="Arial" w:hAnsi="Arial" w:cs="Arial"/>
                <w:sz w:val="28"/>
                <w:szCs w:val="24"/>
              </w:rPr>
              <w:t>4.2.1</w:t>
            </w:r>
            <w:r>
              <w:rPr>
                <w:rFonts w:hint="default" w:ascii="Arial" w:hAnsi="Arial" w:cs="Arial"/>
                <w:sz w:val="28"/>
                <w:szCs w:val="24"/>
              </w:rPr>
              <w:tab/>
            </w:r>
            <w:r>
              <w:rPr>
                <w:rFonts w:hint="default" w:ascii="Arial" w:hAnsi="Arial" w:cs="Arial"/>
                <w:sz w:val="28"/>
                <w:szCs w:val="24"/>
              </w:rPr>
              <w:t>LCM Flavours</w:t>
            </w:r>
          </w:p>
          <w:p w14:paraId="5DA0094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 xml:space="preserve">The LCM procedure is studied for the case that an AI/ML model has a </w:t>
            </w:r>
            <w:r>
              <w:rPr>
                <w:rFonts w:hint="default" w:ascii="Arial" w:hAnsi="Arial" w:cs="Arial"/>
                <w:i/>
                <w:iCs/>
                <w:sz w:val="20"/>
                <w:szCs w:val="21"/>
              </w:rPr>
              <w:t>model ID</w:t>
            </w:r>
            <w:r>
              <w:rPr>
                <w:rFonts w:hint="default" w:ascii="Arial" w:hAnsi="Arial" w:cs="Arial"/>
                <w:sz w:val="20"/>
                <w:szCs w:val="21"/>
              </w:rPr>
              <w:t xml:space="preserve"> with associated information and/or for the case that a given </w:t>
            </w:r>
            <w:r>
              <w:rPr>
                <w:rFonts w:hint="default" w:ascii="Arial" w:hAnsi="Arial" w:cs="Arial"/>
                <w:i/>
                <w:iCs/>
                <w:sz w:val="20"/>
                <w:szCs w:val="21"/>
              </w:rPr>
              <w:t>functionality</w:t>
            </w:r>
            <w:r>
              <w:rPr>
                <w:rFonts w:hint="default" w:ascii="Arial" w:hAnsi="Arial" w:cs="Arial"/>
                <w:sz w:val="20"/>
                <w:szCs w:val="21"/>
              </w:rPr>
              <w:t xml:space="preserve"> is provided by some AI/ML operations. Note: Applicability of functionality-based LCM and model-ID-based LCM is a separate discussion.</w:t>
            </w:r>
          </w:p>
          <w:p w14:paraId="6DE93C9A">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Calibri" w:cs="Arial"/>
                <w:sz w:val="20"/>
                <w:szCs w:val="21"/>
              </w:rPr>
            </w:pPr>
            <w:r>
              <w:rPr>
                <w:rFonts w:hint="default" w:ascii="Arial" w:hAnsi="Arial" w:cs="Arial"/>
                <w:sz w:val="20"/>
                <w:szCs w:val="21"/>
              </w:rPr>
              <w:t xml:space="preserve">From RAN1 perspective, an AI/ML model identified by a model ID may be </w:t>
            </w:r>
            <w:r>
              <w:rPr>
                <w:rFonts w:hint="default" w:ascii="Arial" w:hAnsi="Arial" w:cs="Arial"/>
                <w:i/>
                <w:sz w:val="20"/>
                <w:szCs w:val="21"/>
              </w:rPr>
              <w:t>logical</w:t>
            </w:r>
            <w:r>
              <w:rPr>
                <w:rFonts w:hint="default" w:ascii="Arial" w:hAnsi="Arial" w:cs="Arial"/>
                <w:sz w:val="20"/>
                <w:szCs w:val="21"/>
              </w:rPr>
              <w:t>, and how it maps to physical AI/ML model(s) may be up to implementation.</w:t>
            </w:r>
            <w:r>
              <w:rPr>
                <w:rFonts w:hint="default" w:ascii="Arial" w:hAnsi="Arial" w:eastAsia="Calibri" w:cs="Arial"/>
                <w:sz w:val="20"/>
                <w:szCs w:val="21"/>
              </w:rPr>
              <w:t xml:space="preserve"> When distinction is necessary for discussion purposes, companies may use the term a</w:t>
            </w:r>
            <w:r>
              <w:rPr>
                <w:rFonts w:hint="default" w:ascii="Arial" w:hAnsi="Arial" w:eastAsia="Calibri" w:cs="Arial"/>
                <w:sz w:val="20"/>
                <w:szCs w:val="21"/>
                <w:highlight w:val="none"/>
              </w:rPr>
              <w:t xml:space="preserve"> </w:t>
            </w:r>
            <w:r>
              <w:rPr>
                <w:rFonts w:hint="default" w:ascii="Arial" w:hAnsi="Arial" w:eastAsia="Calibri" w:cs="Arial"/>
                <w:i/>
                <w:iCs/>
                <w:sz w:val="20"/>
                <w:szCs w:val="21"/>
                <w:highlight w:val="none"/>
              </w:rPr>
              <w:t>logical AI/ML model</w:t>
            </w:r>
            <w:r>
              <w:rPr>
                <w:rFonts w:hint="default" w:ascii="Arial" w:hAnsi="Arial" w:eastAsia="Calibri" w:cs="Arial"/>
                <w:sz w:val="20"/>
                <w:szCs w:val="21"/>
                <w:highlight w:val="none"/>
              </w:rPr>
              <w:t xml:space="preserve"> to refer to a model that is identified and assigned a model ID, and </w:t>
            </w:r>
            <w:r>
              <w:rPr>
                <w:rFonts w:hint="default" w:ascii="Arial" w:hAnsi="Arial" w:eastAsia="Calibri" w:cs="Arial"/>
                <w:i/>
                <w:iCs/>
                <w:sz w:val="20"/>
                <w:szCs w:val="21"/>
                <w:highlight w:val="none"/>
              </w:rPr>
              <w:t>physical AI/ML model(s)</w:t>
            </w:r>
            <w:r>
              <w:rPr>
                <w:rFonts w:hint="default" w:ascii="Arial" w:hAnsi="Arial" w:eastAsia="Calibri" w:cs="Arial"/>
                <w:sz w:val="20"/>
                <w:szCs w:val="21"/>
                <w:highlight w:val="none"/>
              </w:rPr>
              <w:t xml:space="preserve"> </w:t>
            </w:r>
            <w:r>
              <w:rPr>
                <w:rFonts w:hint="default" w:ascii="Arial" w:hAnsi="Arial" w:eastAsia="Calibri" w:cs="Arial"/>
                <w:sz w:val="20"/>
                <w:szCs w:val="21"/>
              </w:rPr>
              <w:t>to refer to an actual implementation of such a model.</w:t>
            </w:r>
            <w:r>
              <w:rPr>
                <w:rFonts w:hint="default" w:ascii="Arial" w:hAnsi="Arial" w:cs="Arial"/>
                <w:i/>
                <w:iCs/>
                <w:sz w:val="20"/>
                <w:szCs w:val="21"/>
              </w:rPr>
              <w:t xml:space="preserve"> </w:t>
            </w:r>
          </w:p>
          <w:p w14:paraId="133CB2B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For UE-side models and UE-part of two-sided models:</w:t>
            </w:r>
          </w:p>
          <w:p w14:paraId="1B94C3D7">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For AI/ML functionality identification</w:t>
            </w:r>
          </w:p>
          <w:p w14:paraId="2FE42E70">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Legacy 3GPP framework of feature is taken as a starting point.</w:t>
            </w:r>
          </w:p>
          <w:p w14:paraId="7DD90288">
            <w:pPr>
              <w:pStyle w:val="35"/>
              <w:keepLines w:val="0"/>
              <w:pageBreakBefore w:val="0"/>
              <w:widowControl w:val="0"/>
              <w:kinsoku/>
              <w:wordWrap/>
              <w:overflowPunct/>
              <w:topLinePunct w:val="0"/>
              <w:autoSpaceDE/>
              <w:autoSpaceDN/>
              <w:bidi w:val="0"/>
              <w:adjustRightInd/>
              <w:snapToGrid/>
              <w:spacing w:after="120"/>
              <w:ind w:left="850" w:hanging="288"/>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UE indicates supported functionalities/functionality for a given sub-use-case.</w:t>
            </w:r>
          </w:p>
          <w:p w14:paraId="6F48EE73">
            <w:pPr>
              <w:pStyle w:val="39"/>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lang w:eastAsia="zh-CN"/>
              </w:rPr>
              <w:t>-</w:t>
            </w:r>
            <w:r>
              <w:rPr>
                <w:rFonts w:hint="default" w:ascii="Arial" w:hAnsi="Arial" w:cs="Arial"/>
                <w:sz w:val="20"/>
                <w:szCs w:val="21"/>
                <w:highlight w:val="yellow"/>
                <w:lang w:eastAsia="zh-CN"/>
              </w:rPr>
              <w:tab/>
            </w:r>
            <w:r>
              <w:rPr>
                <w:rFonts w:hint="default" w:ascii="Arial" w:hAnsi="Arial" w:cs="Arial"/>
                <w:sz w:val="20"/>
                <w:szCs w:val="21"/>
                <w:highlight w:val="yellow"/>
                <w:lang w:eastAsia="zh-CN"/>
              </w:rPr>
              <w:t>UE capability reporting is taken as starting point.</w:t>
            </w:r>
          </w:p>
          <w:p w14:paraId="2637A95E">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 xml:space="preserve">For AI/ML model identification </w:t>
            </w:r>
          </w:p>
          <w:p w14:paraId="48E361F3">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Models are identified by model ID at the Network. UE indicates supported AI/ML models.</w:t>
            </w:r>
          </w:p>
          <w:p w14:paraId="44FBD660">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i/>
                <w:iCs/>
                <w:sz w:val="20"/>
                <w:szCs w:val="21"/>
                <w:lang w:val="en-US" w:eastAsia="zh-CN"/>
              </w:rPr>
            </w:pPr>
            <w:r>
              <w:rPr>
                <w:rFonts w:hint="eastAsia" w:ascii="Arial" w:hAnsi="Arial" w:cs="Arial"/>
                <w:i/>
                <w:iCs/>
                <w:sz w:val="20"/>
                <w:szCs w:val="21"/>
                <w:lang w:val="en-US" w:eastAsia="zh-CN"/>
              </w:rPr>
              <w:t>&lt;omitted&gt;</w:t>
            </w:r>
          </w:p>
          <w:p w14:paraId="27D39BDC">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highlight w:val="yellow"/>
              </w:rPr>
              <w:t>After functionality identification</w:t>
            </w:r>
            <w:r>
              <w:rPr>
                <w:rFonts w:hint="default" w:ascii="Arial" w:hAnsi="Arial" w:cs="Arial"/>
                <w:sz w:val="20"/>
                <w:szCs w:val="21"/>
              </w:rPr>
              <w:t>, necessity, mechanisms, for </w:t>
            </w:r>
            <w:r>
              <w:rPr>
                <w:rFonts w:hint="default" w:ascii="Arial" w:hAnsi="Arial" w:cs="Arial"/>
                <w:sz w:val="20"/>
                <w:szCs w:val="21"/>
                <w:highlight w:val="yellow"/>
              </w:rPr>
              <w:t>UE to report updates on applicable functionality(es)</w:t>
            </w:r>
            <w:r>
              <w:rPr>
                <w:rFonts w:hint="default" w:ascii="Arial" w:hAnsi="Arial" w:cs="Arial"/>
                <w:sz w:val="20"/>
                <w:szCs w:val="21"/>
              </w:rPr>
              <w:t xml:space="preserve"> among functionality(es) are studied, where the applicable functionalities may be a subset of all functionalities. Applicable functionalities can be reported by the UE.</w:t>
            </w:r>
          </w:p>
          <w:p w14:paraId="55385962">
            <w:pPr>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sz w:val="20"/>
                <w:szCs w:val="22"/>
                <w:vertAlign w:val="baseline"/>
                <w:lang w:val="en-US" w:eastAsia="zh-CN"/>
              </w:rPr>
            </w:pPr>
            <w:r>
              <w:rPr>
                <w:rFonts w:hint="eastAsia" w:ascii="Arial" w:hAnsi="Arial" w:cs="Arial"/>
                <w:i/>
                <w:iCs/>
                <w:sz w:val="20"/>
                <w:szCs w:val="21"/>
                <w:lang w:val="en-US" w:eastAsia="zh-CN"/>
              </w:rPr>
              <w:t>&lt;omitted&gt;</w:t>
            </w:r>
          </w:p>
        </w:tc>
      </w:tr>
    </w:tbl>
    <w:p w14:paraId="62C3E79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In R19, RAN2 discussed the basic procedure of applicable functionality reporting which includes the UE capability reporting</w:t>
      </w:r>
      <w:r>
        <w:rPr>
          <w:rFonts w:hint="default" w:ascii="Arial" w:hAnsi="Arial" w:cs="Arial"/>
          <w:sz w:val="20"/>
          <w:szCs w:val="20"/>
          <w:lang w:val="en-US" w:eastAsia="zh-CN"/>
        </w:rPr>
        <w:t xml:space="preserve"> </w:t>
      </w:r>
      <w:r>
        <w:rPr>
          <w:rFonts w:hint="default" w:ascii="Arial" w:hAnsi="Arial" w:cs="Arial"/>
          <w:sz w:val="20"/>
          <w:szCs w:val="20"/>
        </w:rPr>
        <w:t xml:space="preserve">containing </w:t>
      </w:r>
      <w:r>
        <w:rPr>
          <w:rFonts w:hint="eastAsia" w:ascii="Arial" w:hAnsi="Arial" w:cs="Arial"/>
          <w:sz w:val="20"/>
          <w:szCs w:val="20"/>
          <w:lang w:val="en-US" w:eastAsia="zh-CN"/>
        </w:rPr>
        <w:t xml:space="preserve">the </w:t>
      </w:r>
      <w:r>
        <w:rPr>
          <w:rFonts w:hint="default" w:ascii="Arial" w:hAnsi="Arial" w:cs="Arial"/>
          <w:sz w:val="20"/>
          <w:szCs w:val="20"/>
        </w:rPr>
        <w:t>supported functionalities</w:t>
      </w:r>
      <w:r>
        <w:rPr>
          <w:rFonts w:hint="eastAsia" w:ascii="Arial" w:hAnsi="Arial" w:cs="Arial"/>
          <w:sz w:val="20"/>
          <w:szCs w:val="20"/>
          <w:lang w:val="en-US" w:eastAsia="zh-CN"/>
        </w:rPr>
        <w:t xml:space="preserve"> in UE side</w:t>
      </w:r>
      <w:r>
        <w:rPr>
          <w:rFonts w:hint="eastAsia" w:ascii="Arial" w:hAnsi="Arial" w:cs="Arial"/>
          <w:sz w:val="20"/>
          <w:szCs w:val="22"/>
          <w:lang w:val="en-US" w:eastAsia="zh-CN"/>
        </w:rPr>
        <w:t>. In our understanding, functionality identification is achieved in step 1 and step 2. Therefore, we think there is no need to introduce an additional definition and procedure for functionality identification.</w:t>
      </w:r>
    </w:p>
    <w:p w14:paraId="7C3D284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3: There is no need to introduce the definition and procedure for functionality identification since it is achieved in UE capability reporting (i.e. step1/2 of applicable functionality reporting). </w:t>
      </w:r>
    </w:p>
    <w:p w14:paraId="34012915">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p>
    <w:p w14:paraId="780FC19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2.3 Necessary signaling/protocols to configure the UE for training</w:t>
      </w:r>
    </w:p>
    <w:p w14:paraId="41F03A3E">
      <w:pPr>
        <w:numPr>
          <w:ilvl w:val="0"/>
          <w:numId w:val="0"/>
        </w:numPr>
        <w:spacing w:before="120" w:beforeLines="50" w:after="120" w:line="260" w:lineRule="exact"/>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For UE side data collection for model training, RAN2 discussed the following options but had no consensus. </w:t>
      </w:r>
    </w:p>
    <w:p w14:paraId="006AC7DD">
      <w:pPr>
        <w:spacing w:after="180"/>
        <w:ind w:left="568" w:hanging="284"/>
        <w:rPr>
          <w:rFonts w:hint="default" w:ascii="Arial" w:hAnsi="Arial" w:eastAsia="宋体" w:cs="Arial"/>
          <w:sz w:val="20"/>
          <w:szCs w:val="21"/>
        </w:rPr>
      </w:pPr>
      <w:bookmarkStart w:id="0" w:name="_Hlk176893835"/>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1a.</w:t>
      </w:r>
      <w:r>
        <w:rPr>
          <w:rFonts w:hint="eastAsia" w:ascii="Arial" w:hAnsi="Arial" w:eastAsia="宋体" w:cs="Arial"/>
          <w:b/>
          <w:bCs/>
          <w:sz w:val="20"/>
          <w:szCs w:val="21"/>
          <w:lang w:val="en-US" w:eastAsia="zh-CN"/>
        </w:rPr>
        <w:t xml:space="preserve"> </w:t>
      </w:r>
      <w:r>
        <w:rPr>
          <w:rFonts w:hint="default" w:ascii="Arial" w:hAnsi="Arial" w:eastAsia="宋体" w:cs="Arial"/>
          <w:sz w:val="20"/>
          <w:szCs w:val="21"/>
        </w:rPr>
        <w:t>UE collects and directly transfers training data to the data collection entity outside the MNO (e.g. Over-The-Top (OTT) server) for UE-side model training. No 3GPP specification impact is expected.</w:t>
      </w:r>
    </w:p>
    <w:p w14:paraId="75A6318D">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1b.</w:t>
      </w:r>
      <w:r>
        <w:rPr>
          <w:rFonts w:hint="eastAsia" w:ascii="Arial" w:hAnsi="Arial" w:eastAsia="宋体" w:cs="Arial"/>
          <w:b/>
          <w:bCs/>
          <w:sz w:val="20"/>
          <w:szCs w:val="21"/>
          <w:lang w:val="en-US" w:eastAsia="zh-CN"/>
        </w:rPr>
        <w:t xml:space="preserve"> </w:t>
      </w:r>
      <w:r>
        <w:rPr>
          <w:rFonts w:hint="default" w:ascii="Arial" w:hAnsi="Arial" w:eastAsia="宋体" w:cs="Arial"/>
          <w:sz w:val="20"/>
          <w:szCs w:val="21"/>
        </w:rPr>
        <w:t>UE collects training data and transfers it to the server for data collection for UE-side model training (inside the MNO) and then optionally from the server for data collection for UE-side model training to the OTT server (outside the MNO).</w:t>
      </w:r>
    </w:p>
    <w:p w14:paraId="01290D32">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2.</w:t>
      </w:r>
      <w:r>
        <w:rPr>
          <w:rFonts w:hint="default" w:ascii="Arial" w:hAnsi="Arial" w:eastAsia="宋体" w:cs="Arial"/>
          <w:b/>
          <w:bCs/>
          <w:sz w:val="20"/>
          <w:szCs w:val="21"/>
        </w:rPr>
        <w:tab/>
      </w:r>
      <w:r>
        <w:rPr>
          <w:rFonts w:hint="default" w:ascii="Arial" w:hAnsi="Arial" w:eastAsia="宋体" w:cs="Arial"/>
          <w:sz w:val="20"/>
          <w:szCs w:val="21"/>
        </w:rPr>
        <w:t>UE collects training data and transfers it to Core Network. Core Network transfers the training data to the server for data collection for UE-side model training/OTT server.</w:t>
      </w:r>
    </w:p>
    <w:p w14:paraId="35616B81">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3.</w:t>
      </w:r>
      <w:r>
        <w:rPr>
          <w:rFonts w:hint="default" w:ascii="Arial" w:hAnsi="Arial" w:eastAsia="宋体" w:cs="Arial"/>
          <w:b/>
          <w:bCs/>
          <w:sz w:val="20"/>
          <w:szCs w:val="21"/>
        </w:rPr>
        <w:tab/>
      </w:r>
      <w:r>
        <w:rPr>
          <w:rFonts w:hint="default" w:ascii="Arial" w:hAnsi="Arial" w:eastAsia="宋体" w:cs="Arial"/>
          <w:sz w:val="20"/>
          <w:szCs w:val="21"/>
        </w:rPr>
        <w:t xml:space="preserve">UE collects training data and transfers it to OAM. OAM transfers the training data to the server for data collection for UE-side model training/OTT server. </w:t>
      </w:r>
    </w:p>
    <w:bookmarkEnd w:id="0"/>
    <w:p w14:paraId="045AEA43">
      <w:pPr>
        <w:numPr>
          <w:ilvl w:val="0"/>
          <w:numId w:val="0"/>
        </w:numPr>
        <w:spacing w:before="120" w:beforeLines="50" w:after="120" w:line="260" w:lineRule="exact"/>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In RAN#105 meeting, RAN plenary sent a LS [4] on data collection to SA and expected at least SA2 to provide inputs on solution 1b, 2 and 3 by RAN#106. After that, RAN2 will continue to down select among the potential options. Therefore, the discussion on the necessary signaling to configure the UE for training should be postponed until reply LS is received.</w:t>
      </w:r>
    </w:p>
    <w:p w14:paraId="14A6547A">
      <w:pPr>
        <w:numPr>
          <w:ilvl w:val="0"/>
          <w:numId w:val="0"/>
        </w:numPr>
        <w:spacing w:before="120" w:beforeLines="50" w:after="120" w:line="260" w:lineRule="exact"/>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At this stage, we can give preliminary analysis on the potential protocol impacts for each option.</w:t>
      </w:r>
    </w:p>
    <w:p w14:paraId="1B018C28">
      <w:pPr>
        <w:numPr>
          <w:ilvl w:val="0"/>
          <w:numId w:val="0"/>
        </w:numPr>
        <w:spacing w:before="120" w:beforeLines="50" w:after="120" w:line="260" w:lineRule="exact"/>
        <w:ind w:leftChars="10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For option 1a, no 3GPP specification impact is expected, thus there is no need to discuss the signaling for training.</w:t>
      </w:r>
    </w:p>
    <w:p w14:paraId="42FB26F1">
      <w:pPr>
        <w:numPr>
          <w:ilvl w:val="0"/>
          <w:numId w:val="0"/>
        </w:numPr>
        <w:spacing w:before="120" w:beforeLines="50" w:after="120" w:line="260" w:lineRule="exact"/>
        <w:ind w:leftChars="10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For option 1b, we think the solution is totally in SA2 scope, so the configuration should be discussed in SA2 if adopted and it has no impacts on RAN2.</w:t>
      </w:r>
    </w:p>
    <w:p w14:paraId="7C14D468">
      <w:pPr>
        <w:numPr>
          <w:ilvl w:val="0"/>
          <w:numId w:val="0"/>
        </w:numPr>
        <w:spacing w:before="120" w:beforeLines="50" w:after="120" w:line="260" w:lineRule="exact"/>
        <w:ind w:leftChars="10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For option 2, the configuration for training should be configured by CN via NAS signaling, which has no impacts on RAN2.</w:t>
      </w:r>
    </w:p>
    <w:p w14:paraId="0DD205EC">
      <w:pPr>
        <w:numPr>
          <w:ilvl w:val="0"/>
          <w:numId w:val="0"/>
        </w:numPr>
        <w:spacing w:before="120" w:beforeLines="50" w:after="120" w:line="260" w:lineRule="exact"/>
        <w:ind w:leftChars="10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For option 3, the configuration would be configured by OAM, and then sent to the UE via gNB, which needs RAN2 work.</w:t>
      </w:r>
    </w:p>
    <w:p w14:paraId="54FBDAE8">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4: Option 3 has potential protocol impacts on RAN2, and option 1a/1b/2 have no impacts on RAN2, the details should be discussed after reply LS on data collection is received from SA.</w:t>
      </w:r>
    </w:p>
    <w:p w14:paraId="5100CBFC">
      <w:pPr>
        <w:numPr>
          <w:ilvl w:val="0"/>
          <w:numId w:val="0"/>
        </w:numPr>
        <w:spacing w:before="120" w:beforeLines="50" w:after="120" w:line="260" w:lineRule="exact"/>
        <w:rPr>
          <w:rFonts w:hint="default" w:ascii="Arial" w:hAnsi="Arial" w:cs="Arial"/>
          <w:b/>
          <w:bCs/>
          <w:sz w:val="20"/>
          <w:szCs w:val="20"/>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UE-sided model for beam management</w:t>
      </w:r>
      <w:r>
        <w:rPr>
          <w:rFonts w:ascii="Arial" w:hAnsi="Arial" w:eastAsia="宋体" w:cs="Arial"/>
          <w:kern w:val="0"/>
          <w:sz w:val="20"/>
          <w:szCs w:val="20"/>
          <w:lang w:val="en-GB" w:eastAsia="en-US"/>
        </w:rPr>
        <w:t>.</w:t>
      </w:r>
    </w:p>
    <w:p w14:paraId="2359DE00">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Applicable functionality reporting</w:t>
      </w:r>
    </w:p>
    <w:p w14:paraId="387513C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1: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applicable functionalities in step 4.</w:t>
      </w:r>
    </w:p>
    <w:p w14:paraId="36662F99">
      <w:pPr>
        <w:pStyle w:val="9"/>
        <w:spacing w:before="120" w:beforeLines="50" w:after="120" w:line="260" w:lineRule="exact"/>
        <w:ind w:leftChars="0"/>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2: The proactive and reactive approach can be coexist, the proactive reporting (i.e. UAI framework) is used when the applicability functionalities changes, and the reactive reporting (i.e. </w:t>
      </w:r>
      <w:r>
        <w:rPr>
          <w:rFonts w:hint="eastAsia" w:ascii="Arial" w:hAnsi="Arial" w:cs="Arial"/>
          <w:b/>
          <w:bCs/>
          <w:i/>
          <w:iCs/>
          <w:sz w:val="20"/>
          <w:szCs w:val="22"/>
          <w:lang w:val="en-US" w:eastAsia="zh-CN"/>
        </w:rPr>
        <w:t xml:space="preserve">RRCReconfiguration </w:t>
      </w:r>
      <w:r>
        <w:rPr>
          <w:rFonts w:hint="eastAsia" w:ascii="Arial" w:hAnsi="Arial" w:cs="Arial"/>
          <w:b/>
          <w:bCs/>
          <w:sz w:val="20"/>
          <w:szCs w:val="22"/>
          <w:lang w:val="en-US" w:eastAsia="zh-CN"/>
        </w:rPr>
        <w:t>message) is used as response to the network configuration immediately</w:t>
      </w:r>
      <w:r>
        <w:rPr>
          <w:rFonts w:hint="eastAsia" w:ascii="Arial" w:hAnsi="Arial" w:cs="Arial"/>
          <w:b/>
          <w:bCs/>
          <w:sz w:val="20"/>
          <w:szCs w:val="20"/>
          <w:lang w:val="en-US" w:eastAsia="zh-CN"/>
        </w:rPr>
        <w:t>.</w:t>
      </w:r>
      <w:r>
        <w:rPr>
          <w:rFonts w:hint="eastAsia" w:ascii="Arial" w:hAnsi="Arial" w:cs="Arial"/>
          <w:b/>
          <w:bCs/>
          <w:sz w:val="20"/>
          <w:szCs w:val="22"/>
          <w:lang w:val="en-US" w:eastAsia="zh-CN"/>
        </w:rPr>
        <w:t xml:space="preserve"> </w:t>
      </w:r>
    </w:p>
    <w:p w14:paraId="75A96723">
      <w:pPr>
        <w:pStyle w:val="9"/>
        <w:spacing w:before="120" w:beforeLines="50" w:after="120" w:line="260" w:lineRule="exact"/>
        <w:ind w:leftChars="0"/>
        <w:rPr>
          <w:rFonts w:hint="default"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Functionality identification</w:t>
      </w:r>
    </w:p>
    <w:p w14:paraId="75A804C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3: There is no need to introduce the definition and procedure for functionality identification since it is achieved in UE capability reporting (i.e. step1/2 of applicable functionality reporting). </w:t>
      </w:r>
    </w:p>
    <w:p w14:paraId="01F9015C">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Necessary signaling/protocols to configure the UE for training</w:t>
      </w:r>
    </w:p>
    <w:p w14:paraId="25D23EB7">
      <w:pPr>
        <w:pStyle w:val="9"/>
        <w:spacing w:before="120" w:beforeLines="50" w:after="120" w:line="260" w:lineRule="exact"/>
        <w:ind w:leftChars="0"/>
        <w:rPr>
          <w:rFonts w:hint="eastAsia" w:ascii="Arial" w:hAnsi="Arial" w:cs="Arial"/>
          <w:b/>
          <w:bCs/>
          <w:sz w:val="20"/>
          <w:szCs w:val="20"/>
          <w:lang w:val="en-US" w:eastAsia="zh-CN"/>
        </w:rPr>
      </w:pPr>
      <w:r>
        <w:rPr>
          <w:rFonts w:hint="eastAsia" w:ascii="Arial" w:hAnsi="Arial" w:cs="Arial"/>
          <w:b/>
          <w:bCs/>
          <w:sz w:val="20"/>
          <w:szCs w:val="20"/>
          <w:lang w:val="en-US" w:eastAsia="zh-CN"/>
        </w:rPr>
        <w:t>Proposal 4: Option 3 has potential protocol impacts on RAN2, and option 1a/1b/2 have</w:t>
      </w:r>
      <w:bookmarkStart w:id="1" w:name="_GoBack"/>
      <w:bookmarkEnd w:id="1"/>
      <w:r>
        <w:rPr>
          <w:rFonts w:hint="eastAsia" w:ascii="Arial" w:hAnsi="Arial" w:cs="Arial"/>
          <w:b/>
          <w:bCs/>
          <w:sz w:val="20"/>
          <w:szCs w:val="20"/>
          <w:lang w:val="en-US" w:eastAsia="zh-CN"/>
        </w:rPr>
        <w:t xml:space="preserve"> no impacts on RAN2, the details should be discussed after reply LS on data collection is received from SA.</w:t>
      </w:r>
    </w:p>
    <w:p w14:paraId="75F0D97D">
      <w:pPr>
        <w:pStyle w:val="9"/>
        <w:spacing w:before="120" w:beforeLines="50" w:after="120" w:line="260" w:lineRule="exact"/>
        <w:ind w:leftChars="0"/>
        <w:rPr>
          <w:rFonts w:hint="eastAsia" w:ascii="Arial" w:hAnsi="Arial" w:cs="Arial"/>
          <w:b/>
          <w:bCs/>
          <w:sz w:val="20"/>
          <w:szCs w:val="20"/>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182FB4DD">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R2-2407848 LS on applicable functionality reporting for beam management UE-sided model</w:t>
      </w:r>
    </w:p>
    <w:p w14:paraId="5E70DF5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14:paraId="5607344D">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RP-242389</w:t>
      </w:r>
      <w:r>
        <w:rPr>
          <w:rFonts w:hint="eastAsia" w:ascii="Arial" w:hAnsi="Arial" w:eastAsia="宋体" w:cs="Arial"/>
          <w:kern w:val="0"/>
          <w:sz w:val="20"/>
          <w:szCs w:val="20"/>
          <w:lang w:val="en-US" w:eastAsia="zh-CN"/>
        </w:rPr>
        <w:t xml:space="preserve"> LS on AIML data collection To:</w:t>
      </w:r>
      <w:r>
        <w:rPr>
          <w:rFonts w:hint="eastAsia" w:ascii="Arial" w:hAnsi="Arial" w:eastAsia="宋体" w:cs="Arial"/>
          <w:kern w:val="0"/>
          <w:sz w:val="20"/>
          <w:szCs w:val="20"/>
          <w:lang w:val="en-US" w:eastAsia="zh-CN"/>
        </w:rPr>
        <w:tab/>
      </w:r>
      <w:r>
        <w:rPr>
          <w:rFonts w:hint="eastAsia" w:ascii="Arial" w:hAnsi="Arial" w:eastAsia="宋体" w:cs="Arial"/>
          <w:kern w:val="0"/>
          <w:sz w:val="20"/>
          <w:szCs w:val="20"/>
          <w:lang w:val="en-US" w:eastAsia="zh-CN"/>
        </w:rPr>
        <w:t xml:space="preserve">TSG SA, WG SA2, WG SA3, WG SA5 </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51E9122A"/>
    <w:multiLevelType w:val="multilevel"/>
    <w:tmpl w:val="51E9122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7"/>
  </w:num>
  <w:num w:numId="4">
    <w:abstractNumId w:val="6"/>
  </w:num>
  <w:num w:numId="5">
    <w:abstractNumId w:val="4"/>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E2342"/>
    <w:rsid w:val="0AE21792"/>
    <w:rsid w:val="0AF33383"/>
    <w:rsid w:val="0AFA4AC7"/>
    <w:rsid w:val="0AFD0EBC"/>
    <w:rsid w:val="0B054A96"/>
    <w:rsid w:val="0B11078A"/>
    <w:rsid w:val="0B1B28B6"/>
    <w:rsid w:val="0B7B639C"/>
    <w:rsid w:val="0B7E67EB"/>
    <w:rsid w:val="0B96175E"/>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AF327B"/>
    <w:rsid w:val="0ECE6830"/>
    <w:rsid w:val="0F1D748A"/>
    <w:rsid w:val="0F3701CB"/>
    <w:rsid w:val="0F4E079B"/>
    <w:rsid w:val="0F732504"/>
    <w:rsid w:val="0F782620"/>
    <w:rsid w:val="0F8A7784"/>
    <w:rsid w:val="0F8C51E0"/>
    <w:rsid w:val="0FA82F44"/>
    <w:rsid w:val="0FC803F4"/>
    <w:rsid w:val="10090A65"/>
    <w:rsid w:val="105502AF"/>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360ADA"/>
    <w:rsid w:val="154A66B0"/>
    <w:rsid w:val="159C7EDD"/>
    <w:rsid w:val="15BE553B"/>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176DAE"/>
    <w:rsid w:val="1B5E2B2B"/>
    <w:rsid w:val="1B724BD8"/>
    <w:rsid w:val="1B9E2247"/>
    <w:rsid w:val="1BB22919"/>
    <w:rsid w:val="1BF91505"/>
    <w:rsid w:val="1BFC2067"/>
    <w:rsid w:val="1C064DE2"/>
    <w:rsid w:val="1C263D41"/>
    <w:rsid w:val="1C6673DB"/>
    <w:rsid w:val="1C6A1BB2"/>
    <w:rsid w:val="1C726F5B"/>
    <w:rsid w:val="1C7B60E4"/>
    <w:rsid w:val="1C87732E"/>
    <w:rsid w:val="1CC529AF"/>
    <w:rsid w:val="1CC914E2"/>
    <w:rsid w:val="1CD81789"/>
    <w:rsid w:val="1D031FA5"/>
    <w:rsid w:val="1D1D27D2"/>
    <w:rsid w:val="1D4D1FA4"/>
    <w:rsid w:val="1D700D25"/>
    <w:rsid w:val="1DA1677A"/>
    <w:rsid w:val="1DA90A2F"/>
    <w:rsid w:val="1DB26D48"/>
    <w:rsid w:val="1DC07338"/>
    <w:rsid w:val="1DE55E1B"/>
    <w:rsid w:val="1DEA2636"/>
    <w:rsid w:val="1E015BFF"/>
    <w:rsid w:val="1E0717B3"/>
    <w:rsid w:val="1E261FEC"/>
    <w:rsid w:val="1E5D014C"/>
    <w:rsid w:val="1E5E36D4"/>
    <w:rsid w:val="1E625159"/>
    <w:rsid w:val="1E6C052F"/>
    <w:rsid w:val="1E8017FF"/>
    <w:rsid w:val="1E8A1312"/>
    <w:rsid w:val="1EB31B66"/>
    <w:rsid w:val="1EB529F8"/>
    <w:rsid w:val="1EDA06DF"/>
    <w:rsid w:val="1EE73F05"/>
    <w:rsid w:val="1EF17AB3"/>
    <w:rsid w:val="1EFA50FC"/>
    <w:rsid w:val="1F1E6BD2"/>
    <w:rsid w:val="1F1F4D17"/>
    <w:rsid w:val="1F27275C"/>
    <w:rsid w:val="1F8A3BD5"/>
    <w:rsid w:val="1FE63CE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B7B03"/>
    <w:rsid w:val="2D440581"/>
    <w:rsid w:val="2D470656"/>
    <w:rsid w:val="2D493ADC"/>
    <w:rsid w:val="2D493B59"/>
    <w:rsid w:val="2D55451C"/>
    <w:rsid w:val="2D5B158F"/>
    <w:rsid w:val="2D7B5269"/>
    <w:rsid w:val="2DD85F0E"/>
    <w:rsid w:val="2DF144D1"/>
    <w:rsid w:val="2DFB6036"/>
    <w:rsid w:val="2E2A6622"/>
    <w:rsid w:val="2E3472AB"/>
    <w:rsid w:val="2E3D031C"/>
    <w:rsid w:val="2E457026"/>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513A45"/>
    <w:rsid w:val="32B50B2C"/>
    <w:rsid w:val="32B819E9"/>
    <w:rsid w:val="32C84DFE"/>
    <w:rsid w:val="32FA3DAF"/>
    <w:rsid w:val="332122CC"/>
    <w:rsid w:val="332D5F33"/>
    <w:rsid w:val="3337740D"/>
    <w:rsid w:val="337F1035"/>
    <w:rsid w:val="33805DA1"/>
    <w:rsid w:val="338C56E4"/>
    <w:rsid w:val="33934B2E"/>
    <w:rsid w:val="339441CF"/>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2B733E"/>
    <w:rsid w:val="354554F5"/>
    <w:rsid w:val="354E123E"/>
    <w:rsid w:val="354F2AD2"/>
    <w:rsid w:val="35566C29"/>
    <w:rsid w:val="359652C0"/>
    <w:rsid w:val="35A9661A"/>
    <w:rsid w:val="35AF552A"/>
    <w:rsid w:val="35C36B07"/>
    <w:rsid w:val="35C60438"/>
    <w:rsid w:val="360D6591"/>
    <w:rsid w:val="361E2AEF"/>
    <w:rsid w:val="361F2C5E"/>
    <w:rsid w:val="363976F7"/>
    <w:rsid w:val="36681B72"/>
    <w:rsid w:val="366B38CD"/>
    <w:rsid w:val="366E68DA"/>
    <w:rsid w:val="367C622B"/>
    <w:rsid w:val="36BD137C"/>
    <w:rsid w:val="36E02E58"/>
    <w:rsid w:val="36F84B57"/>
    <w:rsid w:val="3720190B"/>
    <w:rsid w:val="37293C39"/>
    <w:rsid w:val="3751494E"/>
    <w:rsid w:val="375A24EA"/>
    <w:rsid w:val="37757EA8"/>
    <w:rsid w:val="3784494C"/>
    <w:rsid w:val="37BC00E4"/>
    <w:rsid w:val="37C859C7"/>
    <w:rsid w:val="37D62F7A"/>
    <w:rsid w:val="37E40AE8"/>
    <w:rsid w:val="37FF0329"/>
    <w:rsid w:val="3801173C"/>
    <w:rsid w:val="38060F79"/>
    <w:rsid w:val="381A150A"/>
    <w:rsid w:val="384E5649"/>
    <w:rsid w:val="38746ABC"/>
    <w:rsid w:val="38761BD7"/>
    <w:rsid w:val="3876347B"/>
    <w:rsid w:val="388D15D1"/>
    <w:rsid w:val="38A710B1"/>
    <w:rsid w:val="38AE69D5"/>
    <w:rsid w:val="38FC0060"/>
    <w:rsid w:val="38FC32F5"/>
    <w:rsid w:val="38FD17EE"/>
    <w:rsid w:val="39030A9D"/>
    <w:rsid w:val="39113643"/>
    <w:rsid w:val="392C4597"/>
    <w:rsid w:val="396866FD"/>
    <w:rsid w:val="397E03C2"/>
    <w:rsid w:val="39AF07AB"/>
    <w:rsid w:val="39BB3AC3"/>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8C651A"/>
    <w:rsid w:val="41B370D6"/>
    <w:rsid w:val="41CD260F"/>
    <w:rsid w:val="420A6E97"/>
    <w:rsid w:val="420D439A"/>
    <w:rsid w:val="42212582"/>
    <w:rsid w:val="423F0492"/>
    <w:rsid w:val="42625CA5"/>
    <w:rsid w:val="42755843"/>
    <w:rsid w:val="42794CE2"/>
    <w:rsid w:val="428704C4"/>
    <w:rsid w:val="42C70708"/>
    <w:rsid w:val="42E0254C"/>
    <w:rsid w:val="42F40D67"/>
    <w:rsid w:val="43066FF8"/>
    <w:rsid w:val="43146FF6"/>
    <w:rsid w:val="433204F8"/>
    <w:rsid w:val="433C3AAA"/>
    <w:rsid w:val="4345322A"/>
    <w:rsid w:val="43480F05"/>
    <w:rsid w:val="43580CE8"/>
    <w:rsid w:val="43600192"/>
    <w:rsid w:val="436A056E"/>
    <w:rsid w:val="436F06B1"/>
    <w:rsid w:val="436F598B"/>
    <w:rsid w:val="43964A1C"/>
    <w:rsid w:val="439E341B"/>
    <w:rsid w:val="43E22B61"/>
    <w:rsid w:val="44031DB9"/>
    <w:rsid w:val="440700DA"/>
    <w:rsid w:val="44166A5A"/>
    <w:rsid w:val="44320857"/>
    <w:rsid w:val="446E0159"/>
    <w:rsid w:val="447943E7"/>
    <w:rsid w:val="44B41FCD"/>
    <w:rsid w:val="44F46625"/>
    <w:rsid w:val="44F52628"/>
    <w:rsid w:val="454C191C"/>
    <w:rsid w:val="4556652D"/>
    <w:rsid w:val="45846DC9"/>
    <w:rsid w:val="45861251"/>
    <w:rsid w:val="459911EE"/>
    <w:rsid w:val="4599227F"/>
    <w:rsid w:val="45A2455E"/>
    <w:rsid w:val="45BE024B"/>
    <w:rsid w:val="45BE2AD4"/>
    <w:rsid w:val="45C2437E"/>
    <w:rsid w:val="45EA2721"/>
    <w:rsid w:val="460A0745"/>
    <w:rsid w:val="462128E4"/>
    <w:rsid w:val="46300B95"/>
    <w:rsid w:val="463A3C1C"/>
    <w:rsid w:val="46552F9B"/>
    <w:rsid w:val="466E6ADA"/>
    <w:rsid w:val="46911EDD"/>
    <w:rsid w:val="4699240B"/>
    <w:rsid w:val="46B7014A"/>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B08573B"/>
    <w:rsid w:val="4B626F00"/>
    <w:rsid w:val="4BBD1C23"/>
    <w:rsid w:val="4BC53B5B"/>
    <w:rsid w:val="4BE53FE4"/>
    <w:rsid w:val="4C340FD6"/>
    <w:rsid w:val="4C4D4AF8"/>
    <w:rsid w:val="4C744BB3"/>
    <w:rsid w:val="4C851F32"/>
    <w:rsid w:val="4C964045"/>
    <w:rsid w:val="4C9C7CA8"/>
    <w:rsid w:val="4CA30A9C"/>
    <w:rsid w:val="4CD70E50"/>
    <w:rsid w:val="4CDB65A8"/>
    <w:rsid w:val="4CE2366D"/>
    <w:rsid w:val="4D010671"/>
    <w:rsid w:val="4D0526DC"/>
    <w:rsid w:val="4D2812FA"/>
    <w:rsid w:val="4D316B33"/>
    <w:rsid w:val="4D352FBB"/>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426A9"/>
    <w:rsid w:val="4F7127A7"/>
    <w:rsid w:val="4F792A76"/>
    <w:rsid w:val="4F7A31F5"/>
    <w:rsid w:val="4FB77179"/>
    <w:rsid w:val="4FB92CDA"/>
    <w:rsid w:val="4FBA6088"/>
    <w:rsid w:val="4FE775A6"/>
    <w:rsid w:val="4FF54231"/>
    <w:rsid w:val="50077447"/>
    <w:rsid w:val="50092979"/>
    <w:rsid w:val="502F4C40"/>
    <w:rsid w:val="50343739"/>
    <w:rsid w:val="50623802"/>
    <w:rsid w:val="50652E94"/>
    <w:rsid w:val="50665370"/>
    <w:rsid w:val="508700F4"/>
    <w:rsid w:val="50A970CD"/>
    <w:rsid w:val="50C72D83"/>
    <w:rsid w:val="50EC664D"/>
    <w:rsid w:val="50F25C6E"/>
    <w:rsid w:val="51031D50"/>
    <w:rsid w:val="5163596F"/>
    <w:rsid w:val="51642065"/>
    <w:rsid w:val="516F0D03"/>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41C5C72"/>
    <w:rsid w:val="543B6BDD"/>
    <w:rsid w:val="544F1C50"/>
    <w:rsid w:val="54606A92"/>
    <w:rsid w:val="54611A81"/>
    <w:rsid w:val="54DC110F"/>
    <w:rsid w:val="55236751"/>
    <w:rsid w:val="55654739"/>
    <w:rsid w:val="557D655D"/>
    <w:rsid w:val="55846FDD"/>
    <w:rsid w:val="558933C3"/>
    <w:rsid w:val="55B177EA"/>
    <w:rsid w:val="55CD48C4"/>
    <w:rsid w:val="55EA33B8"/>
    <w:rsid w:val="55F34392"/>
    <w:rsid w:val="560C425A"/>
    <w:rsid w:val="56116B32"/>
    <w:rsid w:val="562365CA"/>
    <w:rsid w:val="56340430"/>
    <w:rsid w:val="563F6CB5"/>
    <w:rsid w:val="564B6FA5"/>
    <w:rsid w:val="56581D59"/>
    <w:rsid w:val="568502CA"/>
    <w:rsid w:val="5698486D"/>
    <w:rsid w:val="56A874FB"/>
    <w:rsid w:val="56AA23A1"/>
    <w:rsid w:val="56B0773B"/>
    <w:rsid w:val="56C254B7"/>
    <w:rsid w:val="5709588E"/>
    <w:rsid w:val="571760EF"/>
    <w:rsid w:val="571F7ADE"/>
    <w:rsid w:val="576C2C58"/>
    <w:rsid w:val="57792910"/>
    <w:rsid w:val="5781180D"/>
    <w:rsid w:val="579F0027"/>
    <w:rsid w:val="57C77D46"/>
    <w:rsid w:val="57CF4F1B"/>
    <w:rsid w:val="57D065BB"/>
    <w:rsid w:val="58201757"/>
    <w:rsid w:val="58404F46"/>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815C0"/>
    <w:rsid w:val="5ACD77B4"/>
    <w:rsid w:val="5AF95FBA"/>
    <w:rsid w:val="5AFF7905"/>
    <w:rsid w:val="5B1836AE"/>
    <w:rsid w:val="5B310DAB"/>
    <w:rsid w:val="5B326768"/>
    <w:rsid w:val="5B492C91"/>
    <w:rsid w:val="5B563D3F"/>
    <w:rsid w:val="5B5E26D5"/>
    <w:rsid w:val="5B6B15AA"/>
    <w:rsid w:val="5B987BF7"/>
    <w:rsid w:val="5BA23173"/>
    <w:rsid w:val="5BAF6495"/>
    <w:rsid w:val="5BDE2F03"/>
    <w:rsid w:val="5BE9290B"/>
    <w:rsid w:val="5BF25754"/>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867E1"/>
    <w:rsid w:val="5E674F7E"/>
    <w:rsid w:val="5E874CE8"/>
    <w:rsid w:val="5E9224E3"/>
    <w:rsid w:val="5EA50A24"/>
    <w:rsid w:val="5EB00E5C"/>
    <w:rsid w:val="5ECC354A"/>
    <w:rsid w:val="5ED35331"/>
    <w:rsid w:val="5EE37831"/>
    <w:rsid w:val="5EEB7859"/>
    <w:rsid w:val="5F01547F"/>
    <w:rsid w:val="5F0211D3"/>
    <w:rsid w:val="5F0A3D5F"/>
    <w:rsid w:val="5F213F68"/>
    <w:rsid w:val="5F2F6349"/>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381112"/>
    <w:rsid w:val="615E501E"/>
    <w:rsid w:val="6180773A"/>
    <w:rsid w:val="61A06374"/>
    <w:rsid w:val="61CF3DB0"/>
    <w:rsid w:val="622470A5"/>
    <w:rsid w:val="62247F4C"/>
    <w:rsid w:val="622D2FAA"/>
    <w:rsid w:val="625D25EA"/>
    <w:rsid w:val="62857C4E"/>
    <w:rsid w:val="6286607D"/>
    <w:rsid w:val="62A62781"/>
    <w:rsid w:val="62B334AF"/>
    <w:rsid w:val="62E05FC6"/>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3F3D04"/>
    <w:rsid w:val="644204E6"/>
    <w:rsid w:val="6448326B"/>
    <w:rsid w:val="64635DFB"/>
    <w:rsid w:val="64642CA5"/>
    <w:rsid w:val="64683A23"/>
    <w:rsid w:val="64942A8F"/>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0E07"/>
    <w:rsid w:val="66BA2385"/>
    <w:rsid w:val="66BC293A"/>
    <w:rsid w:val="66DB09CF"/>
    <w:rsid w:val="66E96680"/>
    <w:rsid w:val="66F227B6"/>
    <w:rsid w:val="67237A0F"/>
    <w:rsid w:val="67487CFE"/>
    <w:rsid w:val="67695728"/>
    <w:rsid w:val="677038E2"/>
    <w:rsid w:val="677777A9"/>
    <w:rsid w:val="67B43783"/>
    <w:rsid w:val="67B92A72"/>
    <w:rsid w:val="67D547C2"/>
    <w:rsid w:val="67FA0E09"/>
    <w:rsid w:val="680147C8"/>
    <w:rsid w:val="68075EA1"/>
    <w:rsid w:val="681B5C83"/>
    <w:rsid w:val="68233F9E"/>
    <w:rsid w:val="68277A88"/>
    <w:rsid w:val="686831F8"/>
    <w:rsid w:val="6889198F"/>
    <w:rsid w:val="68922214"/>
    <w:rsid w:val="689340A3"/>
    <w:rsid w:val="68A12E72"/>
    <w:rsid w:val="68DC73EC"/>
    <w:rsid w:val="690309F9"/>
    <w:rsid w:val="69054B5C"/>
    <w:rsid w:val="69293200"/>
    <w:rsid w:val="694347AF"/>
    <w:rsid w:val="694F06EB"/>
    <w:rsid w:val="6963607F"/>
    <w:rsid w:val="696403F8"/>
    <w:rsid w:val="69766916"/>
    <w:rsid w:val="698D63CB"/>
    <w:rsid w:val="698F77F4"/>
    <w:rsid w:val="69A20335"/>
    <w:rsid w:val="69B23B9D"/>
    <w:rsid w:val="69BD4C13"/>
    <w:rsid w:val="69E82867"/>
    <w:rsid w:val="6A086F70"/>
    <w:rsid w:val="6A323DA1"/>
    <w:rsid w:val="6A540655"/>
    <w:rsid w:val="6A5B510D"/>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5657"/>
    <w:rsid w:val="6BD07E4C"/>
    <w:rsid w:val="6BD126F0"/>
    <w:rsid w:val="6BE1773A"/>
    <w:rsid w:val="6BE35659"/>
    <w:rsid w:val="6C23061A"/>
    <w:rsid w:val="6C253AA6"/>
    <w:rsid w:val="6C2B66F7"/>
    <w:rsid w:val="6C56491E"/>
    <w:rsid w:val="6C5B64F3"/>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154D35"/>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7165B"/>
    <w:rsid w:val="706B4405"/>
    <w:rsid w:val="70801B07"/>
    <w:rsid w:val="709A7A5C"/>
    <w:rsid w:val="70A1406F"/>
    <w:rsid w:val="70AA6593"/>
    <w:rsid w:val="70B0465E"/>
    <w:rsid w:val="70CE3E98"/>
    <w:rsid w:val="70FE623D"/>
    <w:rsid w:val="715B3C2A"/>
    <w:rsid w:val="717A163C"/>
    <w:rsid w:val="71803C89"/>
    <w:rsid w:val="718D6ECB"/>
    <w:rsid w:val="71994E64"/>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2A2B73"/>
    <w:rsid w:val="743C5C12"/>
    <w:rsid w:val="74412921"/>
    <w:rsid w:val="745744B6"/>
    <w:rsid w:val="7475710D"/>
    <w:rsid w:val="747621BD"/>
    <w:rsid w:val="75061B64"/>
    <w:rsid w:val="75086A21"/>
    <w:rsid w:val="750B356A"/>
    <w:rsid w:val="750C4DDC"/>
    <w:rsid w:val="7510569F"/>
    <w:rsid w:val="756950CA"/>
    <w:rsid w:val="75922EAF"/>
    <w:rsid w:val="75AD28A1"/>
    <w:rsid w:val="75C224B9"/>
    <w:rsid w:val="75FB7A70"/>
    <w:rsid w:val="76013E56"/>
    <w:rsid w:val="760A7D9D"/>
    <w:rsid w:val="76335855"/>
    <w:rsid w:val="763E51CC"/>
    <w:rsid w:val="76465F91"/>
    <w:rsid w:val="766026E6"/>
    <w:rsid w:val="76B770A6"/>
    <w:rsid w:val="76CE7275"/>
    <w:rsid w:val="76E4362B"/>
    <w:rsid w:val="76EF6628"/>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A408FA"/>
    <w:rsid w:val="7AC34D04"/>
    <w:rsid w:val="7AD60288"/>
    <w:rsid w:val="7B123707"/>
    <w:rsid w:val="7B236D19"/>
    <w:rsid w:val="7B307625"/>
    <w:rsid w:val="7B347CEC"/>
    <w:rsid w:val="7B576B4E"/>
    <w:rsid w:val="7B761608"/>
    <w:rsid w:val="7B87133C"/>
    <w:rsid w:val="7BBF721F"/>
    <w:rsid w:val="7C105077"/>
    <w:rsid w:val="7C416F95"/>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E077DCE"/>
    <w:rsid w:val="7E4B1AB3"/>
    <w:rsid w:val="7E58216F"/>
    <w:rsid w:val="7E58478A"/>
    <w:rsid w:val="7E70415D"/>
    <w:rsid w:val="7E7F1745"/>
    <w:rsid w:val="7E886BD8"/>
    <w:rsid w:val="7E922F1E"/>
    <w:rsid w:val="7E9C1A45"/>
    <w:rsid w:val="7EEF7176"/>
    <w:rsid w:val="7F356E88"/>
    <w:rsid w:val="7F5D775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1590</Words>
  <Characters>9088</Characters>
  <Lines>49</Lines>
  <Paragraphs>13</Paragraphs>
  <TotalTime>0</TotalTime>
  <ScaleCrop>false</ScaleCrop>
  <LinksUpToDate>false</LinksUpToDate>
  <CharactersWithSpaces>10668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2024-09-30T06:13:54Z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D85AF97BC902448D8CED273B6FC5ED94_13</vt:lpwstr>
  </property>
</Properties>
</file>